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rPr>
          <w:rFonts w:eastAsiaTheme="minorHAnsi"/>
          <w:color w:val="000000" w:themeColor="text1"/>
          <w:sz w:val="28"/>
          <w:szCs w:val="28"/>
          <w:lang w:eastAsia="en-US"/>
        </w:rPr>
        <w:outlineLvl w:val="0"/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left="5669" w:right="0" w:firstLine="0"/>
        <w:jc w:val="lef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риказу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сельского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хозяйства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Красноярского края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left="5669" w:right="0" w:firstLine="0"/>
        <w:jc w:val="lef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12.03.2019 № 191-о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left="5669" w:right="0" w:firstLine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pStyle w:val="72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1" w:name="P40"/>
      <w:r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ведения реес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ведения реестра садо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Порядок), устанавливает процедуру ведения реестра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некоммерческих товариществ, претендующих на получение государственной поддержки.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Реестр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их некоммерческих товариществ, претендующих на получение государственной поддержки (далее – Реестр), представляет собой электронную базу, включающую 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садоводческих,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огороднических некоммерческих товариществах, некоммерческих организациях, созданных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форме ассоциаций (союзов), выражающих интересы садоводов, огородников и их некоммерческих товариществ, осуществляющих свою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территории Красноярского края в соответствии с действующим законодательством Российской Федерации и претендующих на получение государственной поддержки.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Понятия, используемые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применяются в значениях,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определенных </w:t>
      </w:r>
      <w:hyperlink r:id="rId10" w:tooltip="consultantplus://offline/ref=F8C62FFD16F07239C8C16CD55B9111F604F8219E81C3FE175C17252E1D0DE92019F446DF2D7ED2FEDEE70EAE0E659FAF2CDDdBD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12.02.2015 № 8-3140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государственной поддержке садоводства и огородничества в Красноярском крае».</w:t>
      </w:r>
      <w:bookmarkStart w:id="2" w:name="P55"/>
      <w:r/>
      <w:bookmarkEnd w:id="2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Заявителями явл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яются садоводческие или огороднические некоммерческие товарищества (далее – некоммерческое товарищество), некоммерческие организации, созданные в форме ассоциаций (союзов), выражающих интересы садоводов, огородников и их некоммерческих товариществ (далее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ассоциация (союз)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осуществляющие свою деятельность на территории Красноярского края в соответствии с действующим законодательством (далее – заявитель).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Ведение Реестра осуществляется министерством сельского хозяйства Красноярского края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В соответствии со </w:t>
      </w:r>
      <w:hyperlink r:id="rId11" w:tooltip="consultantplus://offline/ref=F8C62FFD16F07239C8C172D84DFD4EF903F17D9382C4F44907472379425DEF7559B4408D776ED6B789E912AD117B9CB12CD83BD0d1D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09.02.2009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8-ФЗ «Об обеспечении доступа к информации о деятельности государственных органов и органов местного самоуправления» Реестр размещается на официальном сайте министерства в информационно-телекоммуникационной сети Интернет.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1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Порядок ведения Реестра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3" w:name="P61"/>
      <w:r/>
      <w:bookmarkStart w:id="4" w:name="P91"/>
      <w:r/>
      <w:bookmarkEnd w:id="3"/>
      <w:r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Для включения в Реестр заявитель представляет в министерство следующие документы (далее – документы для включения в Реестр):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tooltip="#P127" w:anchor="P12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заявление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установленной приложением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(далее – заявление), подписанное единоличным исполнительным органом заявителя (далее – председатель);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копию устава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bookmarkStart w:id="5" w:name="P65"/>
      <w:r/>
      <w:bookmarkEnd w:id="5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выписку из единого государственного реестра юридических лиц, сформированную по состоянию не ранее чем за 30 календарных дней до дня подачи заявления (далее – ЕГРЮЛ) (представляется по собственной инициативе).</w:t>
      </w:r>
      <w:bookmarkStart w:id="6" w:name="P66"/>
      <w:r/>
      <w:bookmarkEnd w:id="6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Документы для включения в Реестр должны соответствовать 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выполнены с использованием технических средств, аккуратно, без подчисток, исправлений, помарок, неустановленных сокращений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формулировок, допускающих двоякое толкование;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пия устава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должна быть заверена председателем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даты заверения, должности, подписи, расшифровки подписи, скреплена печатью заявителя;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содержать достоверные, полные, актуальные сведения и поддаваться прочтению.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Заявитель представляет документы для включения в Рее</w:t>
      </w:r>
      <w:r>
        <w:rPr>
          <w:color w:val="000000" w:themeColor="text1"/>
          <w:sz w:val="28"/>
          <w:szCs w:val="28"/>
        </w:rPr>
        <w:t xml:space="preserve">стр </w:t>
      </w:r>
      <w:r>
        <w:rPr>
          <w:color w:val="000000" w:themeColor="text1"/>
          <w:sz w:val="28"/>
          <w:szCs w:val="28"/>
        </w:rPr>
        <w:br/>
        <w:t xml:space="preserve">на бумажном носителе лично</w:t>
      </w:r>
      <w:r>
        <w:rPr>
          <w:color w:val="000000" w:themeColor="text1"/>
          <w:sz w:val="28"/>
          <w:szCs w:val="28"/>
        </w:rPr>
        <w:t xml:space="preserve"> либо путем направления по почте (письмом </w:t>
      </w:r>
      <w:r>
        <w:rPr>
          <w:color w:val="000000" w:themeColor="text1"/>
          <w:sz w:val="28"/>
          <w:szCs w:val="28"/>
        </w:rPr>
        <w:br/>
        <w:t xml:space="preserve">с уведомлением о вручении) или в форме электронного документа, подписанного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br/>
        <w:t xml:space="preserve">в соответствии с Федеральным </w:t>
      </w:r>
      <w:hyperlink r:id="rId12" w:tooltip="consultantplus://offline/ref=05F97EC6295A19A66B79F784361220FB995C0E0049994BC10FB3C7EF91B129F534530DF2A850C1B25C2B591A43rD33E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06.04.2011 № 63-ФЗ </w:t>
      </w:r>
      <w:r>
        <w:rPr>
          <w:color w:val="000000" w:themeColor="text1"/>
          <w:sz w:val="28"/>
          <w:szCs w:val="28"/>
        </w:rPr>
        <w:br/>
        <w:t xml:space="preserve">«Об электронной подписи» (далее − электронная подпись, Федеральный закон </w:t>
      </w:r>
      <w:r>
        <w:rPr>
          <w:color w:val="000000" w:themeColor="text1"/>
          <w:sz w:val="28"/>
          <w:szCs w:val="28"/>
        </w:rPr>
        <w:t xml:space="preserve">№ 63-ФЗ) в личный кабинет в государственной информационной системе «Субсидия АПК24» с использованием информационно-телекоммуникационной сети Интернет по ссылке http://24sapk.krskcit.r</w:t>
      </w:r>
      <w:r>
        <w:rPr>
          <w:color w:val="000000" w:themeColor="text1"/>
          <w:sz w:val="28"/>
          <w:szCs w:val="28"/>
        </w:rPr>
        <w:t xml:space="preserve">u </w:t>
      </w:r>
      <w:r>
        <w:rPr>
          <w:color w:val="000000" w:themeColor="text1"/>
          <w:sz w:val="28"/>
          <w:szCs w:val="28"/>
        </w:rPr>
        <w:br/>
        <w:t xml:space="preserve">(далее – личный кабинет</w:t>
      </w:r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В случае представления документов для включения в Реестр в форме электронного документа, подписанного электронной подписью (далее – электронный</w:t>
      </w:r>
      <w:r>
        <w:rPr>
          <w:color w:val="000000" w:themeColor="text1"/>
          <w:sz w:val="28"/>
          <w:szCs w:val="28"/>
        </w:rPr>
        <w:t xml:space="preserve"> документ), министерством проводится процедура проверки действительности электронной подписи, с использованием которой подписан электронный документ (далее − проверка подписи), в течение 2 рабочих дней со дня поступления документов для включения в Реестр. </w:t>
      </w:r>
      <w:r>
        <w:rPr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в результате проверки подписи будет выявлено несоблюдение условий признания ее действительности, установленных </w:t>
      </w:r>
      <w:hyperlink r:id="rId13" w:tooltip="consultantplus://offline/ref=AB705B5F47EAC6CBE8160D43272FB398B5E45277B0DB2A636C4F04F7C0A5C8EBE4F64850F94F6943C75ED8378B679FB14B957B372E28AFEFEA2AE" w:history="1">
        <w:r>
          <w:rPr>
            <w:color w:val="000000" w:themeColor="text1"/>
            <w:sz w:val="28"/>
            <w:szCs w:val="28"/>
          </w:rPr>
          <w:t xml:space="preserve">статьей 11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 63-ФЗ, министерство в течение 3 дней со дня завершения проверки подписи </w:t>
      </w:r>
      <w:r>
        <w:rPr>
          <w:sz w:val="28"/>
          <w:szCs w:val="28"/>
        </w:rPr>
        <w:t xml:space="preserve">принимает решение об отказе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рассмотрению документов для включения в Реестр и направляет 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</w:t>
      </w:r>
      <w:r>
        <w:rPr>
          <w:sz w:val="28"/>
          <w:szCs w:val="28"/>
        </w:rPr>
        <w:t xml:space="preserve">б этом способом</w:t>
      </w:r>
      <w:r>
        <w:rPr>
          <w:sz w:val="28"/>
          <w:szCs w:val="28"/>
        </w:rPr>
        <w:t xml:space="preserve">, указанным в заявлении, в электронной форме по адресу электронной почты заявителя либо в личный кабинет в форме электронного документа с указанием пунктов статьи 11 Федерального закона № 63-ФЗ, которые послужили основанием для принятия указанного решения.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поступления электронных документов в выходной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или нерабочий праздничный день проверка подписи осуществляется в первый рабочий день</w:t>
      </w:r>
      <w:r>
        <w:rPr>
          <w:color w:val="000000" w:themeColor="text1"/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следующий за днем их поступления.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 Учет документов для включения в Реестр, поступивших </w:t>
      </w:r>
      <w:r>
        <w:rPr>
          <w:color w:val="000000" w:themeColor="text1"/>
          <w:sz w:val="28"/>
          <w:szCs w:val="28"/>
        </w:rPr>
        <w:br/>
        <w:t xml:space="preserve">в министерство, ведется в электронном виде в Журнале регистрации документов для включения в Реестр (далее – Журнал).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для включения в Реестр подлежат регистрации в Журнале</w:t>
      </w:r>
      <w:r>
        <w:rPr>
          <w:color w:val="000000" w:themeColor="text1"/>
          <w:sz w:val="28"/>
          <w:szCs w:val="28"/>
        </w:rPr>
        <w:br/>
        <w:t xml:space="preserve">не позднее дня, следующего за днем их поступления.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Днем поступления электронного документа является день завершения проверки подписи и признания ее действительности.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документов для включения в Реестр осуществляется посредством присвоения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регистрационного номера и указания даты регистрации, которые проставляются на заявлении. 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Журнал должен содержать следующую информацию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заявителя;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фамилия, имя, отчество (последнее при наличии) председателя;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дата регистрации и регистрационный номер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поступления документов для включения в Реестр </w:t>
      </w:r>
      <w:r>
        <w:rPr>
          <w:sz w:val="28"/>
          <w:szCs w:val="28"/>
        </w:rPr>
        <w:br/>
        <w:t xml:space="preserve">в министерство;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фамилия, инициалы</w:t>
      </w:r>
      <w:r>
        <w:rPr>
          <w:color w:val="000000" w:themeColor="text1"/>
          <w:sz w:val="28"/>
          <w:szCs w:val="28"/>
        </w:rPr>
        <w:t xml:space="preserve"> государственного гражданского служащего министерства, принявшего д</w:t>
      </w:r>
      <w:r>
        <w:rPr>
          <w:color w:val="000000" w:themeColor="text1"/>
          <w:sz w:val="28"/>
          <w:szCs w:val="28"/>
        </w:rPr>
        <w:t xml:space="preserve">окументы для включения в Реестр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.6. </w:t>
      </w:r>
      <w:r>
        <w:rPr>
          <w:color w:val="000000" w:themeColor="text1"/>
          <w:sz w:val="28"/>
          <w:szCs w:val="28"/>
        </w:rPr>
        <w:t xml:space="preserve">В случае если заявитель не представил по собственной инициативе документ, установленный подпунктом </w:t>
      </w:r>
      <w:r>
        <w:rPr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 пункта 2.1 </w:t>
      </w:r>
      <w:r>
        <w:rPr>
          <w:rStyle w:val="732"/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орядка, </w:t>
      </w:r>
      <w:r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br/>
        <w:t xml:space="preserve">посредством межведомственного электронного взаимодействия, в том числе </w:t>
      </w:r>
      <w:r>
        <w:rPr>
          <w:sz w:val="28"/>
          <w:szCs w:val="28"/>
        </w:rPr>
        <w:br/>
        <w:t xml:space="preserve"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</w:t>
      </w: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позднее 2 рабочих дней</w:t>
      </w:r>
      <w:r>
        <w:rPr>
          <w:sz w:val="28"/>
          <w:szCs w:val="28"/>
        </w:rPr>
        <w:t xml:space="preserve"> со дня регистрации документов для включения</w:t>
      </w:r>
      <w:r>
        <w:rPr>
          <w:sz w:val="28"/>
          <w:szCs w:val="28"/>
        </w:rPr>
        <w:br/>
        <w:t xml:space="preserve">в Реестр указанный документ в территориальном органе Федеральной налоговой службы. </w:t>
      </w:r>
      <w:r>
        <w:rPr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Документ, полученный в порядке межведомственного электронного взаимодействия, приобщается к документам для включения в Реестр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Министерство в течение 10 рабочих дней с даты регистрации документов для включения в Реестр рассматривает док</w:t>
      </w:r>
      <w:r>
        <w:rPr>
          <w:color w:val="000000" w:themeColor="text1"/>
          <w:sz w:val="28"/>
          <w:szCs w:val="28"/>
        </w:rPr>
        <w:t xml:space="preserve">ументы для включения в Реестр, </w:t>
      </w:r>
      <w:r>
        <w:rPr>
          <w:color w:val="000000" w:themeColor="text1"/>
          <w:sz w:val="28"/>
          <w:szCs w:val="28"/>
        </w:rPr>
        <w:t xml:space="preserve">принимает решение о включении (об отказе во вклю</w:t>
      </w:r>
      <w:r>
        <w:rPr>
          <w:color w:val="000000" w:themeColor="text1"/>
          <w:sz w:val="28"/>
          <w:szCs w:val="28"/>
        </w:rPr>
        <w:t xml:space="preserve">чении) в Реестр в форме приказа</w:t>
      </w:r>
      <w:r>
        <w:rPr>
          <w:color w:val="000000" w:themeColor="text1"/>
          <w:sz w:val="28"/>
          <w:szCs w:val="28"/>
        </w:rPr>
        <w:t xml:space="preserve"> и уведомляет заявителя о принятом решении способом, указанным в заявлении.</w:t>
      </w:r>
      <w:r>
        <w:rPr>
          <w:color w:val="000000" w:themeColor="text1"/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включении в Реестр принимается в случае отсутствия оснований для отказа во включении в Реестр, установленных пунктом 2.8 Порядка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и является основанием для включения в Реестр сведений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>
        <w:rPr>
          <w:color w:val="000000" w:themeColor="text1"/>
          <w:sz w:val="28"/>
          <w:szCs w:val="28"/>
        </w:rPr>
        <w:t xml:space="preserve">о некоммерческом товариществе, ассоциации (союзе).</w:t>
      </w:r>
      <w:r>
        <w:rPr>
          <w:color w:val="000000" w:themeColor="text1"/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об отказе во включении в Реестр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принимается в случае наличия оснований для отказа во включении в Реестр, установленных пунктом 2.8 Порядка.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Основания для отказа во включении в Реестр: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непредставление (представление не в полном объеме) документов, предусмотренных </w:t>
      </w:r>
      <w:hyperlink w:tooltip="#P61" w:anchor="P61" w:history="1">
        <w:r>
          <w:rPr>
            <w:color w:val="000000" w:themeColor="text1"/>
            <w:sz w:val="28"/>
            <w:szCs w:val="28"/>
          </w:rPr>
          <w:t xml:space="preserve">пунктом 2.1</w:t>
        </w:r>
      </w:hyperlink>
      <w:r>
        <w:rPr>
          <w:color w:val="000000" w:themeColor="text1"/>
          <w:sz w:val="28"/>
          <w:szCs w:val="28"/>
        </w:rPr>
        <w:t xml:space="preserve"> Порядка, и (или) их несоответствие требованиям, установленным </w:t>
      </w:r>
      <w:hyperlink w:tooltip="#P66" w:anchor="P66" w:history="1">
        <w:r>
          <w:rPr>
            <w:color w:val="000000" w:themeColor="text1"/>
            <w:sz w:val="28"/>
            <w:szCs w:val="28"/>
          </w:rPr>
          <w:t xml:space="preserve">пунктом 2.2</w:t>
        </w:r>
      </w:hyperlink>
      <w:r>
        <w:rPr>
          <w:color w:val="000000" w:themeColor="text1"/>
          <w:sz w:val="28"/>
          <w:szCs w:val="28"/>
        </w:rPr>
        <w:t xml:space="preserve"> Порядка (за исключением документа, указанного в </w:t>
      </w:r>
      <w:hyperlink w:tooltip="#P65" w:anchor="P65" w:history="1">
        <w:r>
          <w:rPr>
            <w:color w:val="000000" w:themeColor="text1"/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 xml:space="preserve">3</w:t>
        </w:r>
        <w:r>
          <w:rPr>
            <w:color w:val="000000" w:themeColor="text1"/>
            <w:sz w:val="28"/>
            <w:szCs w:val="28"/>
          </w:rPr>
          <w:t xml:space="preserve"> пункта 2.1</w:t>
        </w:r>
      </w:hyperlink>
      <w:r>
        <w:rPr>
          <w:color w:val="000000" w:themeColor="text1"/>
          <w:sz w:val="28"/>
          <w:szCs w:val="28"/>
        </w:rPr>
        <w:t xml:space="preserve"> Порядка);</w:t>
      </w:r>
      <w:r>
        <w:rPr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несоответствие заявителя категории, предусмотренной </w:t>
      </w:r>
      <w:hyperlink w:tooltip="#P55" w:anchor="P5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1.4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при возникновении у него обстоятельств, касающихся изменений состава сведений, включаемых в Реестр, представляет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министерство заявление, составленное в произвольной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указанием возникших изменений (далее – заявление об изменен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бумажном носителе 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путем направления по почте (письмом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уведомлением о вручении).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об изменении должно быть подписано председателем,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указанием даты и расшифровки подписи и скреплено печатью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</w:t>
      </w:r>
      <w:r>
        <w:rPr>
          <w:color w:val="000000" w:themeColor="text1"/>
          <w:sz w:val="28"/>
          <w:szCs w:val="28"/>
        </w:rPr>
        <w:t xml:space="preserve"> Министерство в течении 5 рабочих дней со дня поступления заявления об изменении: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trike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проверяет сведения, содержащиеся в заявлении об изменении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соответствие их сведениям, содержащимся</w:t>
      </w:r>
      <w:r>
        <w:t xml:space="preserve"> </w:t>
      </w:r>
      <w:r>
        <w:rPr>
          <w:sz w:val="28"/>
          <w:szCs w:val="28"/>
        </w:rPr>
        <w:t xml:space="preserve">в ЕГРЮЛ (за исключением сведений, установленных подпунктами </w:t>
      </w:r>
      <w:r>
        <w:rPr>
          <w:sz w:val="28"/>
          <w:szCs w:val="28"/>
        </w:rPr>
        <w:t xml:space="preserve">5, 9 </w:t>
      </w:r>
      <w:r>
        <w:rPr>
          <w:sz w:val="28"/>
          <w:szCs w:val="28"/>
        </w:rPr>
        <w:t xml:space="preserve">пункта 3.1 Порядка); </w:t>
      </w:r>
      <w:r>
        <w:rPr>
          <w:strike/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направляет заявителю уведомление об отказе во внесении изменений </w:t>
      </w:r>
      <w:r>
        <w:rPr>
          <w:color w:val="000000" w:themeColor="text1"/>
          <w:sz w:val="28"/>
          <w:szCs w:val="28"/>
        </w:rPr>
        <w:br/>
        <w:t xml:space="preserve">в Реестр в случае </w:t>
      </w:r>
      <w:r>
        <w:rPr>
          <w:color w:val="000000" w:themeColor="text1"/>
          <w:sz w:val="28"/>
          <w:szCs w:val="28"/>
        </w:rPr>
        <w:t xml:space="preserve">выявления </w:t>
      </w:r>
      <w:r>
        <w:rPr>
          <w:color w:val="000000" w:themeColor="text1"/>
          <w:sz w:val="28"/>
          <w:szCs w:val="28"/>
        </w:rPr>
        <w:t xml:space="preserve">несоответствия представленных сведений, содержащихся в заявлении </w:t>
      </w:r>
      <w:r>
        <w:rPr>
          <w:color w:val="000000" w:themeColor="text1"/>
          <w:sz w:val="28"/>
          <w:szCs w:val="28"/>
        </w:rPr>
        <w:t xml:space="preserve">об изменении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сведениям, содержащимся в ЕГРЮЛ (далее – несоответствие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сведениям, содержащимся в ЕГРЮЛ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(за исключением случая выявления основания для исключения, установленного подпунктом 2 пункта 2.11 Порядка);</w:t>
      </w:r>
      <w:r>
        <w:rPr>
          <w:color w:val="000000" w:themeColor="text1"/>
          <w:sz w:val="28"/>
          <w:szCs w:val="28"/>
        </w:rPr>
      </w:r>
    </w:p>
    <w:p>
      <w:pPr>
        <w:pStyle w:val="728"/>
        <w:contextualSpacing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вносит изменения в Реестр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направляет</w:t>
      </w:r>
      <w:r>
        <w:rPr>
          <w:color w:val="000000" w:themeColor="text1"/>
          <w:sz w:val="28"/>
          <w:szCs w:val="28"/>
        </w:rPr>
        <w:t xml:space="preserve"> заявителю</w:t>
      </w:r>
      <w:r>
        <w:rPr>
          <w:color w:val="000000" w:themeColor="text1"/>
          <w:sz w:val="28"/>
          <w:szCs w:val="28"/>
        </w:rPr>
        <w:t xml:space="preserve"> уведомление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 внесении изменений в Реестр </w:t>
      </w:r>
      <w:r>
        <w:rPr>
          <w:color w:val="000000" w:themeColor="text1"/>
          <w:sz w:val="28"/>
          <w:szCs w:val="28"/>
        </w:rPr>
        <w:t xml:space="preserve">в случае отсутствия </w:t>
      </w:r>
      <w:r>
        <w:rPr>
          <w:color w:val="000000" w:themeColor="text1"/>
          <w:sz w:val="28"/>
          <w:szCs w:val="28"/>
        </w:rPr>
        <w:t xml:space="preserve">несоответствия </w:t>
      </w:r>
      <w:r>
        <w:rPr>
          <w:sz w:val="28"/>
          <w:szCs w:val="28"/>
        </w:rPr>
        <w:t xml:space="preserve">сведениям, содержащимся в ЕГРЮЛ,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оснований, установленных подпунктами 2, 3 </w:t>
      </w:r>
      <w:r>
        <w:rPr>
          <w:color w:val="000000" w:themeColor="text1"/>
          <w:sz w:val="28"/>
          <w:szCs w:val="28"/>
        </w:rPr>
        <w:t xml:space="preserve">пункта 2.11</w:t>
      </w:r>
      <w:r>
        <w:rPr>
          <w:color w:val="000000" w:themeColor="text1"/>
          <w:sz w:val="28"/>
          <w:szCs w:val="28"/>
        </w:rPr>
        <w:t xml:space="preserve"> Порядка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trike/>
          <w:color w:val="000000" w:themeColor="text1"/>
          <w:sz w:val="28"/>
          <w:szCs w:val="28"/>
        </w:rPr>
      </w:r>
    </w:p>
    <w:p>
      <w:pPr>
        <w:pStyle w:val="728"/>
        <w:contextualSpacing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</w:t>
      </w:r>
      <w:r>
        <w:rPr>
          <w:color w:val="000000" w:themeColor="text1"/>
          <w:sz w:val="28"/>
          <w:szCs w:val="28"/>
        </w:rPr>
        <w:t xml:space="preserve"> Заявитель исключается из Реестра по следующим основаниям:</w:t>
      </w:r>
      <w:bookmarkStart w:id="7" w:name="P85"/>
      <w:r/>
      <w:bookmarkEnd w:id="7"/>
      <w:r/>
      <w:r>
        <w:rPr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подача заявителем </w:t>
      </w:r>
      <w:hyperlink w:tooltip="#P239" w:anchor="P23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исключении из Реестра (далее – заявление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установленной приложением №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Порядку;</w:t>
      </w:r>
      <w:bookmarkStart w:id="8" w:name="P86"/>
      <w:r/>
      <w:bookmarkEnd w:id="8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несоответствие заявителя категории, предусмотренной </w:t>
      </w:r>
      <w:hyperlink w:tooltip="#P55" w:anchor="P5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1.4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  <w:bookmarkStart w:id="9" w:name="P87"/>
      <w:r/>
      <w:bookmarkEnd w:id="9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ликвидация или 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ращение деятельности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порядке.</w:t>
      </w:r>
      <w:bookmarkStart w:id="10" w:name="P88"/>
      <w:r/>
      <w:bookmarkEnd w:id="10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течение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об исключении, указанного в </w:t>
      </w:r>
      <w:hyperlink w:tooltip="#P85" w:anchor="P85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2.11 Порядка,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выявления оснований, установленных </w:t>
      </w:r>
      <w:hyperlink w:tooltip="#P86" w:anchor="P86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2, </w:t>
      </w:r>
      <w:hyperlink w:tooltip="#P87" w:anchor="P87" w:history="1">
        <w:r>
          <w:rPr>
            <w:rFonts w:ascii="Times New Roman" w:hAnsi="Times New Roman" w:cs="Times New Roman"/>
            <w:sz w:val="28"/>
            <w:szCs w:val="28"/>
          </w:rPr>
          <w:t xml:space="preserve">3 пункта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2.11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принимает решение об исключении из Реестра некоммерческого товарищества, ассоциации (союза) в форме приказа, 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основанием для исключения из Реестра некоммерческого товарищества, ассоциации (союза).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не позднее 3 рабочих дней со дня издания приказа, указанного в </w:t>
      </w:r>
      <w:hyperlink w:tooltip="#P88" w:anchor="P8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первом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уведомляет заявителя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принятом решении: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случае подачи заявления об исключении, способом,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заявлении об исключении;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1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в случае, определённом подпунктом 2 пункта 2.1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Порядка, путем направления уведомления об исключении из Реестра некоммерческого товарищества, ассоциации (союза) по почте (письмом с уведомлением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о вручении).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31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731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Состав сведений, включаемых в Реестр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31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3.1.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Реестр включаются следующие сведения о некоммерческом товариществе, ассоциации (союзе):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полное и сокращенное наименование (в случае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имеется);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2) фактическое местоположение (городской округ, муниципальный округ, муниципал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ьный район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указанием населенного пункта (последнее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–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наличии);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дата государственной регистрации;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4) юридический адрес;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5) почтовый адрес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6)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основной госуда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рственный регистрационный номер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7)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идентификационный номер налогоплательщика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) фамилия, имя, отчество (последнее – при наличии) должностного лица, действующего от имени некоммерческого товарищества, ассоциации (союза) без доверенности;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9)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контактный номер телефона (факса), адрес электронной почты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(при наличии);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10)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номер и дата приказа министерства о включении некоммерческого товарищества, ассоциации (союза) в Реестр;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) номер и дата уведомления о внесении изменений в Реестр;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) номер и дата приказа министерства об исключении некоммерческого товарищества, ассоциации (союза) из Реестра.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851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ведения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созданных в форме ассоциаций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(союзов), выражающих 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садоводов, огородников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претендующих на 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хозяйства и торговли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Прошу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включить_____________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наименование садоводческого, огороднического некоммерческого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товарищества, некоммерческой организации, созданной в форме ассоциации (союза), выражающей интересы садоводов, огородников и их некоммерческих товариществ)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 садоводческих, огороднических некоммерческих товариществ,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некоммерчески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, созданны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претендующих на получение государственной поддержки (далее – Реестр, некоммерческое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товарищество, ассоциация (союз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некоммерческом товариществе,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ассоциации (союз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е):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390"/>
        <w:gridCol w:w="4252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и сокращенное наименование (в случае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имеется)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Фактическое местоположение (городской округ, муниципал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ьный округ,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 указанием населенного пункта (последнее –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государственной 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дентификационный номер налогоплательщика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(последнее – при наличии)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должностного лица, действующего без доверенности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2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номер телефона (факса)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7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3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Уведомление о включении в Реестр (об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отказе во включении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Реестр)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 напр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авить (нужное отметить знаком 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почтовый адрес: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предварительно оповестив 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личный кабинет в государственной информационной системе «Субсидия АПК24» с использованием информационно-телекоммуникационной сети Интернет (далее – ГИС «Субсидия АПК24»)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подачи документов в ГИС «Субсидия АПК24»).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включения в Реестр, в случае подачи документов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ГИС «Субсидия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напр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авить</w:t>
      </w:r>
      <w:r>
        <w:rPr>
          <w:rFonts w:ascii="Times New Roman" w:hAnsi="Times New Roman" w:cs="Times New Roman"/>
          <w:sz w:val="28"/>
          <w:szCs w:val="28"/>
        </w:rPr>
        <w:t xml:space="preserve"> (нужное отметить знаком «V» 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ГИС «Субсидия АПК24»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6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союза)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__________/___________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подпись /расшифровка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991" w:bottom="568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______________ 20__ г.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М.П.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ведения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созданных в форме ассоциаций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(союзов), выражающих 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садоводов, огородников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претендующих на 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хозяйства и торговли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11" w:name="P239"/>
      <w:r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3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Прошу исключить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(полное наименование </w:t>
      </w:r>
      <w:r>
        <w:rPr>
          <w:rFonts w:ascii="Times New Roman" w:hAnsi="Times New Roman" w:cs="Times New Roman"/>
          <w:color w:val="000000" w:themeColor="text1"/>
        </w:rPr>
        <w:t xml:space="preserve">садоводческого, огороднического некоммерческого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</w:rPr>
        <w:t xml:space="preserve">товарищества, некоммерческой организации, созданной в форме ассоциации (союза), выражающей интересы садоводов, огородников и их некоммерческих товариществ,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ИНН, ОГРН)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реестра садоводческих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 (далее – Реестр)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(указать причины исключения)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73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Уведомление об исключения из Реестра прошу напра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вить (нужное отметить знаком V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7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почтовый адрес: 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8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адрес электронной почты: 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9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предварительно оповестив по телефону_____________.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 (союза)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уполномоченное лицо                                                             ___________/_________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подпись/расшифровка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______________ 20__ г.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М.П.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991" w:bottom="142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49041879"/>
      <w:docPartObj>
        <w:docPartGallery w:val="Page Numbers (Top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2903299"/>
      <w:docPartObj>
        <w:docPartGallery w:val="Page Numbers (Top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5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1"/>
    <w:next w:val="7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1"/>
    <w:next w:val="7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1"/>
    <w:next w:val="7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1"/>
    <w:next w:val="7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1"/>
    <w:next w:val="7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1"/>
    <w:next w:val="7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1"/>
    <w:next w:val="7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1"/>
    <w:next w:val="7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1"/>
    <w:next w:val="7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1"/>
    <w:next w:val="7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2"/>
    <w:link w:val="34"/>
    <w:uiPriority w:val="10"/>
    <w:rPr>
      <w:sz w:val="48"/>
      <w:szCs w:val="48"/>
    </w:rPr>
  </w:style>
  <w:style w:type="paragraph" w:styleId="36">
    <w:name w:val="Subtitle"/>
    <w:basedOn w:val="721"/>
    <w:next w:val="7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2"/>
    <w:link w:val="36"/>
    <w:uiPriority w:val="11"/>
    <w:rPr>
      <w:sz w:val="24"/>
      <w:szCs w:val="24"/>
    </w:rPr>
  </w:style>
  <w:style w:type="paragraph" w:styleId="38">
    <w:name w:val="Quote"/>
    <w:basedOn w:val="721"/>
    <w:next w:val="7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1"/>
    <w:next w:val="7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2"/>
    <w:link w:val="725"/>
    <w:uiPriority w:val="99"/>
  </w:style>
  <w:style w:type="character" w:styleId="45">
    <w:name w:val="Footer Char"/>
    <w:basedOn w:val="722"/>
    <w:link w:val="733"/>
    <w:uiPriority w:val="99"/>
  </w:style>
  <w:style w:type="paragraph" w:styleId="46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3"/>
    <w:uiPriority w:val="99"/>
  </w:style>
  <w:style w:type="table" w:styleId="49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2"/>
    <w:uiPriority w:val="99"/>
    <w:unhideWhenUsed/>
    <w:rPr>
      <w:vertAlign w:val="superscript"/>
    </w:rPr>
  </w:style>
  <w:style w:type="paragraph" w:styleId="178">
    <w:name w:val="endnote text"/>
    <w:basedOn w:val="7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2"/>
    <w:uiPriority w:val="99"/>
    <w:semiHidden/>
    <w:unhideWhenUsed/>
    <w:rPr>
      <w:vertAlign w:val="superscript"/>
    </w:rPr>
  </w:style>
  <w:style w:type="paragraph" w:styleId="181">
    <w:name w:val="toc 1"/>
    <w:basedOn w:val="721"/>
    <w:next w:val="7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1"/>
    <w:next w:val="7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1"/>
    <w:next w:val="7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paragraph" w:styleId="725">
    <w:name w:val="Header"/>
    <w:basedOn w:val="721"/>
    <w:link w:val="726"/>
    <w:uiPriority w:val="99"/>
    <w:pPr>
      <w:tabs>
        <w:tab w:val="center" w:pos="4677" w:leader="none"/>
        <w:tab w:val="right" w:pos="9355" w:leader="none"/>
      </w:tabs>
    </w:pPr>
  </w:style>
  <w:style w:type="character" w:styleId="726" w:customStyle="1">
    <w:name w:val="Верхний колонтитул Знак"/>
    <w:basedOn w:val="722"/>
    <w:link w:val="72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727">
    <w:name w:val="Table Grid"/>
    <w:basedOn w:val="7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rmal (Web)"/>
    <w:basedOn w:val="721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72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73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73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732">
    <w:name w:val="Hyperlink"/>
    <w:basedOn w:val="722"/>
    <w:uiPriority w:val="99"/>
    <w:unhideWhenUsed/>
    <w:rPr>
      <w:color w:val="0563c1" w:themeColor="hyperlink"/>
      <w:u w:val="single"/>
    </w:rPr>
  </w:style>
  <w:style w:type="paragraph" w:styleId="733">
    <w:name w:val="Footer"/>
    <w:basedOn w:val="721"/>
    <w:link w:val="7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Нижний колонтитул Знак"/>
    <w:basedOn w:val="722"/>
    <w:link w:val="733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F8C62FFD16F07239C8C16CD55B9111F604F8219E81C3FE175C17252E1D0DE92019F446DF2D7ED2FEDEE70EAE0E659FAF2CDDdBD" TargetMode="External"/><Relationship Id="rId11" Type="http://schemas.openxmlformats.org/officeDocument/2006/relationships/hyperlink" Target="consultantplus://offline/ref=F8C62FFD16F07239C8C172D84DFD4EF903F17D9382C4F44907472379425DEF7559B4408D776ED6B789E912AD117B9CB12CD83BD0d1D" TargetMode="External"/><Relationship Id="rId12" Type="http://schemas.openxmlformats.org/officeDocument/2006/relationships/hyperlink" Target="consultantplus://offline/ref=05F97EC6295A19A66B79F784361220FB995C0E0049994BC10FB3C7EF91B129F534530DF2A850C1B25C2B591A43rD33E" TargetMode="External"/><Relationship Id="rId13" Type="http://schemas.openxmlformats.org/officeDocument/2006/relationships/hyperlink" Target="consultantplus://offline/ref=AB705B5F47EAC6CBE8160D43272FB398B5E45277B0DB2A636C4F04F7C0A5C8EBE4F64850F94F6943C75ED8378B679FB14B957B372E28AFEFEA2AE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7</cp:revision>
  <dcterms:created xsi:type="dcterms:W3CDTF">2023-04-17T02:00:00Z</dcterms:created>
  <dcterms:modified xsi:type="dcterms:W3CDTF">2024-03-11T02:26:49Z</dcterms:modified>
</cp:coreProperties>
</file>